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86" w:rsidRPr="004C6A85" w:rsidRDefault="004F5986" w:rsidP="004F5986">
      <w:pPr>
        <w:pStyle w:val="Title"/>
        <w:ind w:left="4320" w:firstLine="720"/>
        <w:jc w:val="left"/>
        <w:rPr>
          <w:b w:val="0"/>
        </w:rPr>
      </w:pPr>
      <w:r w:rsidRPr="004C6A85">
        <w:rPr>
          <w:b w:val="0"/>
        </w:rPr>
        <w:t>PATVIRTINTA</w:t>
      </w:r>
    </w:p>
    <w:p w:rsidR="004F5986" w:rsidRPr="004C6A85" w:rsidRDefault="004F5986" w:rsidP="004F5986">
      <w:pPr>
        <w:ind w:left="4320" w:firstLine="720"/>
        <w:jc w:val="both"/>
      </w:pPr>
      <w:r w:rsidRPr="004C6A85">
        <w:t>Klaipėdos miesto savivaldybės</w:t>
      </w:r>
    </w:p>
    <w:p w:rsidR="004F5986" w:rsidRPr="004C6A85" w:rsidRDefault="004F5986" w:rsidP="004F5986">
      <w:pPr>
        <w:ind w:left="4320" w:firstLine="720"/>
        <w:jc w:val="both"/>
        <w:rPr>
          <w:b/>
        </w:rPr>
      </w:pPr>
      <w:r w:rsidRPr="004C6A85">
        <w:t>administracijos direktoriaus</w:t>
      </w:r>
    </w:p>
    <w:p w:rsidR="004F5986" w:rsidRPr="004C6A85" w:rsidRDefault="004F5986" w:rsidP="004F5986">
      <w:pPr>
        <w:pStyle w:val="Title"/>
        <w:ind w:left="4320" w:firstLine="720"/>
        <w:jc w:val="both"/>
      </w:pPr>
      <w:r w:rsidRPr="004C6A85">
        <w:rPr>
          <w:b w:val="0"/>
        </w:rPr>
        <w:t>2012 m. rugpjūčio 2</w:t>
      </w:r>
      <w:r w:rsidRPr="004C6A85">
        <w:rPr>
          <w:noProof/>
        </w:rPr>
        <w:t xml:space="preserve"> </w:t>
      </w:r>
      <w:r w:rsidRPr="004C6A85">
        <w:rPr>
          <w:b w:val="0"/>
        </w:rPr>
        <w:t>d.</w:t>
      </w:r>
      <w:r w:rsidRPr="004C6A85">
        <w:t xml:space="preserve"> </w:t>
      </w:r>
      <w:r w:rsidRPr="004C6A85">
        <w:rPr>
          <w:b w:val="0"/>
        </w:rPr>
        <w:t>įsakymu Nr. AD1-</w:t>
      </w:r>
      <w:r w:rsidRPr="004C6A85">
        <w:rPr>
          <w:b w:val="0"/>
          <w:bCs w:val="0"/>
        </w:rPr>
        <w:t>1814</w:t>
      </w:r>
    </w:p>
    <w:p w:rsidR="004F5986" w:rsidRPr="004C6A85" w:rsidRDefault="004F5986" w:rsidP="004F5986">
      <w:pPr>
        <w:pStyle w:val="Title"/>
        <w:ind w:left="4860"/>
        <w:jc w:val="both"/>
        <w:rPr>
          <w:bCs w:val="0"/>
        </w:rPr>
      </w:pPr>
    </w:p>
    <w:p w:rsidR="004F5986" w:rsidRPr="004C6A85" w:rsidRDefault="004F5986" w:rsidP="004F5986">
      <w:pPr>
        <w:ind w:left="5387"/>
      </w:pPr>
    </w:p>
    <w:p w:rsidR="004F5986" w:rsidRPr="004C6A85" w:rsidRDefault="004F5986" w:rsidP="004F5986">
      <w:pPr>
        <w:ind w:left="4320" w:firstLine="720"/>
      </w:pPr>
      <w:r w:rsidRPr="004C6A85">
        <w:t>PATVIRTINTA</w:t>
      </w:r>
    </w:p>
    <w:p w:rsidR="004F5986" w:rsidRPr="004C6A85" w:rsidRDefault="004F5986" w:rsidP="004F5986">
      <w:pPr>
        <w:ind w:left="4320" w:firstLine="720"/>
      </w:pPr>
      <w:r w:rsidRPr="004C6A85">
        <w:t>BĮ Klaipėdos  „Gintaro“ sporto centro</w:t>
      </w:r>
    </w:p>
    <w:p w:rsidR="004F5986" w:rsidRPr="004C6A85" w:rsidRDefault="004F5986" w:rsidP="004F5986">
      <w:pPr>
        <w:ind w:left="4320" w:firstLine="720"/>
      </w:pPr>
      <w:r w:rsidRPr="004C6A85">
        <w:t>direktori</w:t>
      </w:r>
      <w:r>
        <w:t>a</w:t>
      </w:r>
      <w:r w:rsidRPr="004C6A85">
        <w:t>us</w:t>
      </w:r>
    </w:p>
    <w:p w:rsidR="004F5986" w:rsidRPr="004C6A85" w:rsidRDefault="004F5986" w:rsidP="004F5986">
      <w:pPr>
        <w:ind w:left="4320" w:firstLine="720"/>
      </w:pPr>
      <w:r>
        <w:t>2013 m. sausio 2 d. įsakymu Nr. V1-1</w:t>
      </w:r>
    </w:p>
    <w:p w:rsidR="004F5986" w:rsidRPr="004C6A85" w:rsidRDefault="004F5986" w:rsidP="004F5986">
      <w:pPr>
        <w:ind w:left="4320" w:firstLine="720"/>
      </w:pPr>
    </w:p>
    <w:p w:rsidR="004F5986" w:rsidRPr="004C6A85" w:rsidRDefault="004F5986" w:rsidP="004F5986">
      <w:pPr>
        <w:ind w:left="4320" w:firstLine="720"/>
      </w:pPr>
    </w:p>
    <w:p w:rsidR="004F5986" w:rsidRPr="004C6A85" w:rsidRDefault="004F5986" w:rsidP="004F5986">
      <w:pPr>
        <w:pStyle w:val="Title"/>
        <w:spacing w:line="360" w:lineRule="auto"/>
      </w:pPr>
      <w:r w:rsidRPr="004C6A85">
        <w:t>BĮ KLAIPĖDOS “GINTARO” SPORTO CENTRAS, kodas 190457925</w:t>
      </w:r>
    </w:p>
    <w:p w:rsidR="004F5986" w:rsidRPr="004C6A85" w:rsidRDefault="004F5986" w:rsidP="004F5986">
      <w:pPr>
        <w:pStyle w:val="Title"/>
        <w:spacing w:line="360" w:lineRule="auto"/>
      </w:pPr>
      <w:r w:rsidRPr="004C6A85">
        <w:t>2013-2015 METŲ VEIKLOS PLANAS</w:t>
      </w:r>
    </w:p>
    <w:p w:rsidR="004F5986" w:rsidRPr="004C6A85" w:rsidRDefault="004F5986" w:rsidP="004F5986">
      <w:pPr>
        <w:pStyle w:val="Title"/>
        <w:jc w:val="left"/>
      </w:pPr>
    </w:p>
    <w:p w:rsidR="004F5986" w:rsidRPr="004C6A85" w:rsidRDefault="004F5986" w:rsidP="004F5986">
      <w:pPr>
        <w:spacing w:after="240"/>
      </w:pPr>
    </w:p>
    <w:p w:rsidR="004F5986" w:rsidRPr="004C6A85" w:rsidRDefault="004F5986" w:rsidP="004F5986">
      <w:pPr>
        <w:spacing w:after="60"/>
        <w:ind w:firstLine="709"/>
        <w:jc w:val="both"/>
        <w:rPr>
          <w:b/>
          <w:color w:val="000000"/>
        </w:rPr>
      </w:pPr>
      <w:r w:rsidRPr="004C6A85">
        <w:rPr>
          <w:b/>
          <w:color w:val="000000"/>
        </w:rPr>
        <w:t>VEIKLOS KONTEKSTAS</w:t>
      </w:r>
    </w:p>
    <w:p w:rsidR="004F5986" w:rsidRPr="004C6A85" w:rsidRDefault="004F5986" w:rsidP="004F5986">
      <w:pPr>
        <w:pStyle w:val="Title"/>
        <w:ind w:firstLine="709"/>
        <w:jc w:val="both"/>
        <w:rPr>
          <w:b w:val="0"/>
          <w:bCs w:val="0"/>
        </w:rPr>
      </w:pPr>
      <w:r w:rsidRPr="004C6A85">
        <w:rPr>
          <w:b w:val="0"/>
          <w:bCs w:val="0"/>
        </w:rPr>
        <w:t>Valstybine kūno kultūros ir sporto politika siekiama sudaryti palankias sąlygas formuotis jaunuolio asmenybei, kad jis susidarytų teisingas nuostatas kūno kultūros vertybių atžvilgiu, jomis vadovautųsi ir siektų tobulėti, skatinti aktyviai fizinei veiklai, sveikam gyvenimo būdui, vykdyti talentingų sportininkų atranką, juos ugdyti, rengti svarbiausioms šalies ir tarptautinėms plaukimo bei plaukimo su pelekais varžyboms - Olimpinėms žaidynėms, Pasaulio, Europos čempionatams, kad gerais sportiniais rezultatais garsintų miesto ir šalies vardą, kurtų palankų Lietuvos valstybės įvaizdį.</w:t>
      </w:r>
    </w:p>
    <w:p w:rsidR="004F5986" w:rsidRPr="004C6A85" w:rsidRDefault="004F5986" w:rsidP="004F5986">
      <w:pPr>
        <w:ind w:firstLine="709"/>
        <w:jc w:val="both"/>
        <w:rPr>
          <w:bCs/>
          <w:color w:val="000000"/>
        </w:rPr>
      </w:pPr>
      <w:r w:rsidRPr="004C6A85">
        <w:rPr>
          <w:bCs/>
          <w:color w:val="000000"/>
        </w:rPr>
        <w:t xml:space="preserve">Klaipėdos „Gintaro“ sporto centre yra plaukimo ir plaukimo su pelekais sporto šakos, reikšmingos Klaipėdos miestui ir šalies sportui. Šių sporto šakų plėtojimas ir turimų sporto bazių gerinimas yra svarbūs veiksniai, įgyvendinant Klaipėdos miesto savivaldybės tarybos </w:t>
      </w:r>
      <w:smartTag w:uri="urn:schemas-microsoft-com:office:smarttags" w:element="metricconverter">
        <w:smartTagPr>
          <w:attr w:name="ProductID" w:val="2007 m"/>
        </w:smartTagPr>
        <w:r w:rsidRPr="004C6A85">
          <w:rPr>
            <w:bCs/>
            <w:color w:val="000000"/>
          </w:rPr>
          <w:t>2007 m</w:t>
        </w:r>
      </w:smartTag>
      <w:r w:rsidRPr="004C6A85">
        <w:rPr>
          <w:bCs/>
          <w:color w:val="000000"/>
        </w:rPr>
        <w:t>. rugsėjo 27 d. sprendimu Nr. T2-285 patvirtintą Klaipėdos miesto plėtros strateginį planą 2007–2013 metams. Sporto įstaigos veikla taip pat prisideda prie Lietuvos kūno kultūros ir sporto strateginio plano įgyvendinimo.</w:t>
      </w:r>
    </w:p>
    <w:p w:rsidR="004F5986" w:rsidRPr="004C6A85" w:rsidRDefault="004F5986" w:rsidP="004F5986">
      <w:pPr>
        <w:pStyle w:val="Title"/>
        <w:ind w:firstLine="555"/>
        <w:jc w:val="both"/>
        <w:rPr>
          <w:b w:val="0"/>
          <w:bCs w:val="0"/>
        </w:rPr>
      </w:pPr>
      <w:r w:rsidRPr="004C6A85">
        <w:rPr>
          <w:b w:val="0"/>
          <w:bCs w:val="0"/>
        </w:rPr>
        <w:t>Centras vadovaujasi sporto mokymo įstaigų bendraisiais nuostatais, vidaus įsakymais bei Centro nuostatais. Tolesniam sporto vystymui didesnes perspektyvas suteikia naujos redakcijos sporto įstatymas.</w:t>
      </w:r>
    </w:p>
    <w:p w:rsidR="004F5986" w:rsidRPr="004C6A85" w:rsidRDefault="004F5986" w:rsidP="004F5986">
      <w:pPr>
        <w:pStyle w:val="Title"/>
        <w:ind w:firstLine="555"/>
        <w:jc w:val="both"/>
        <w:rPr>
          <w:b w:val="0"/>
          <w:bCs w:val="0"/>
        </w:rPr>
      </w:pPr>
      <w:r w:rsidRPr="004C6A85">
        <w:rPr>
          <w:b w:val="0"/>
          <w:bCs w:val="0"/>
        </w:rPr>
        <w:t xml:space="preserve">Centro veiklos programa finansuojama iš savivaldybės biudžeto, lėšų, gaunamų už teikiamas paslaugas bei įmokų už neformalųjį ugdymą. Centro veiklą įtakoja tėvų ir rėmėjų finansinė parama, kurios sunku sulaukti. </w:t>
      </w:r>
    </w:p>
    <w:p w:rsidR="004F5986" w:rsidRPr="004C6A85" w:rsidRDefault="004F5986" w:rsidP="004F5986">
      <w:pPr>
        <w:pStyle w:val="Title"/>
        <w:ind w:firstLine="555"/>
        <w:jc w:val="both"/>
        <w:rPr>
          <w:b w:val="0"/>
          <w:bCs w:val="0"/>
        </w:rPr>
      </w:pPr>
      <w:r w:rsidRPr="004C6A85">
        <w:rPr>
          <w:b w:val="0"/>
          <w:bCs w:val="0"/>
        </w:rPr>
        <w:t xml:space="preserve">Didėja visuomenės teigiamas požiūris į kūno kultūrą ir sportą. Daugėja norinčių išmokti plaukti, </w:t>
      </w:r>
    </w:p>
    <w:p w:rsidR="004F5986" w:rsidRPr="004C6A85" w:rsidRDefault="004F5986" w:rsidP="004F5986">
      <w:pPr>
        <w:pStyle w:val="Title"/>
        <w:jc w:val="both"/>
        <w:rPr>
          <w:b w:val="0"/>
          <w:bCs w:val="0"/>
        </w:rPr>
      </w:pPr>
      <w:r w:rsidRPr="004C6A85">
        <w:rPr>
          <w:b w:val="0"/>
          <w:bCs w:val="0"/>
        </w:rPr>
        <w:t xml:space="preserve">treniruotis plaukimo ir plaukimo su pelekais sporto šakose, stiprinti sveikatą bei fizinį pasiruošimą. Tačiau įstaigai priklausantis plaukimo baseinas tenkina tik 27,3 % miesto gyventojų poreikių. Pagal miesto žmonių skaičių trūksta plaukimo baseinų. Klaipėdoje 2012 m. duomenimis gyvena 175 276 žmonės. Paskaičiuota, kad 50.000 žmonių reikalingas 1 baseinas. Išvada - miestui reikėtų 3 baseinų. Tada būtų galima patenkinti visų miesto gyventojų poreikius: išmokti plaukti, siekti sportinių rezultatų, dalyvauti sveikatingumo renginiuose. </w:t>
      </w:r>
    </w:p>
    <w:p w:rsidR="004F5986" w:rsidRPr="004C6A85" w:rsidRDefault="004F5986" w:rsidP="004F5986">
      <w:pPr>
        <w:pStyle w:val="Title"/>
        <w:ind w:firstLine="360"/>
        <w:jc w:val="both"/>
        <w:rPr>
          <w:b w:val="0"/>
          <w:bCs w:val="0"/>
        </w:rPr>
      </w:pPr>
      <w:r w:rsidRPr="004C6A85">
        <w:rPr>
          <w:b w:val="0"/>
          <w:bCs w:val="0"/>
        </w:rPr>
        <w:t>Nežymiai gerėjant ekonominei situacijai, nemažėja sunkios materialinės būklės šeimų. Todėl ne visi norintys gali leisti savo vaikus lankyti plaukimo bei plaukimo su pelekais treniruotes.</w:t>
      </w:r>
    </w:p>
    <w:p w:rsidR="004F5986" w:rsidRPr="004C6A85" w:rsidRDefault="004F5986" w:rsidP="004F5986">
      <w:pPr>
        <w:spacing w:after="60"/>
        <w:ind w:firstLine="360"/>
        <w:jc w:val="both"/>
        <w:rPr>
          <w:bCs/>
        </w:rPr>
      </w:pPr>
      <w:r w:rsidRPr="004C6A85">
        <w:rPr>
          <w:bCs/>
        </w:rPr>
        <w:t xml:space="preserve">BĮ Klaipėdos „Gintaro“ sporto centre dirba kvalifikuoti specialistai. Administracijos ir pedagoginiai darbuotojai yra su aukštuoju universitetiniu išsilavinimu. Įstaigoje su moksleiviais dirba: 1 - nacionalinio sporto treneris, 10 – Lietuvos sporto trenerių, 4 – sporto treneriai. Jų darbo </w:t>
      </w:r>
      <w:r w:rsidRPr="004C6A85">
        <w:rPr>
          <w:bCs/>
        </w:rPr>
        <w:lastRenderedPageBreak/>
        <w:t>stažo vidurkis 28 metai. Administracijos ir pedagoginiai darbuotojai pastoviai kelia savo kvalifikaciją kursuose, seminaruose, dalijasi darbo patirtimi su šalies bei užsienio specialistais.</w:t>
      </w:r>
    </w:p>
    <w:p w:rsidR="004F5986" w:rsidRPr="004C6A85" w:rsidRDefault="004F5986" w:rsidP="004F5986">
      <w:pPr>
        <w:pStyle w:val="Title"/>
        <w:ind w:firstLine="709"/>
        <w:jc w:val="both"/>
        <w:rPr>
          <w:b w:val="0"/>
          <w:bCs w:val="0"/>
        </w:rPr>
      </w:pPr>
      <w:r w:rsidRPr="004C6A85">
        <w:rPr>
          <w:b w:val="0"/>
          <w:bCs w:val="0"/>
        </w:rPr>
        <w:t xml:space="preserve">2012 m. įstaigos veiklai skirta 1 589 500 Lt bazinio biudžeto. Savivaldybės lėšos skirtos tik paprastosioms išlaidoms. Didžioji dalis skiriamų biudžeto asignavimų tenka darbuotojų darbo užmokesčiui ir socialinio draudimo įmokoms. Sportinių priemonių organizavimui ir vykdymui, didelio meistriškumo sportininkų ruošimui iš biudžeto 2012 m. gauta 54 000 Lt., iš įmokų už teikiamas paslaugas – 10 000 Lt ir iš įmokų už neformalųjį ugdymą sportinių priemonių organizavimui ir vykdymui bei vasaros užimtumui – 82 000 Lt. </w:t>
      </w:r>
    </w:p>
    <w:p w:rsidR="004F5986" w:rsidRPr="004C6A85" w:rsidRDefault="004F5986" w:rsidP="004F5986">
      <w:pPr>
        <w:spacing w:after="60"/>
        <w:ind w:firstLine="709"/>
        <w:jc w:val="both"/>
        <w:rPr>
          <w:bCs/>
        </w:rPr>
      </w:pPr>
      <w:r w:rsidRPr="004C6A85">
        <w:rPr>
          <w:bCs/>
        </w:rPr>
        <w:t>Įstaiga kasmet dalyvauja programų konkursuose, kad pritraukti kitus finansavimo šaltinius. 2012 m. Kūno kultūros ir sporto rėmimo fondo projekte laimėjome konkursą 50 000 Lt elektroninei laiko fiksavimo sistemai įsigyti. Likusią lėšų dalį 30 000 Lt Klaipėdos „Gintaro“ sporto centras mokės įš įmokų, gautų už neformalųjį ugdymą.</w:t>
      </w:r>
    </w:p>
    <w:p w:rsidR="004F5986" w:rsidRPr="004C6A85" w:rsidRDefault="004F5986" w:rsidP="004F5986">
      <w:pPr>
        <w:pStyle w:val="BodyText"/>
        <w:ind w:firstLine="540"/>
        <w:rPr>
          <w:bCs/>
          <w:szCs w:val="24"/>
          <w:lang w:val="lt-LT"/>
        </w:rPr>
      </w:pPr>
    </w:p>
    <w:p w:rsidR="004F5986" w:rsidRPr="004C6A85" w:rsidRDefault="004F5986" w:rsidP="004F5986">
      <w:pPr>
        <w:numPr>
          <w:ilvl w:val="0"/>
          <w:numId w:val="2"/>
        </w:numPr>
        <w:spacing w:after="60"/>
        <w:jc w:val="both"/>
        <w:rPr>
          <w:b/>
        </w:rPr>
      </w:pPr>
      <w:r w:rsidRPr="004C6A85">
        <w:rPr>
          <w:b/>
        </w:rPr>
        <w:t xml:space="preserve">TIKSLAS </w:t>
      </w:r>
    </w:p>
    <w:p w:rsidR="004F5986" w:rsidRPr="005E5299" w:rsidRDefault="004F5986" w:rsidP="004F5986">
      <w:pPr>
        <w:pStyle w:val="BodyText"/>
        <w:ind w:firstLine="540"/>
        <w:rPr>
          <w:b/>
          <w:szCs w:val="24"/>
          <w:lang w:val="lt-LT"/>
        </w:rPr>
      </w:pPr>
      <w:proofErr w:type="spellStart"/>
      <w:proofErr w:type="gramStart"/>
      <w:r w:rsidRPr="005E5299">
        <w:rPr>
          <w:b/>
          <w:szCs w:val="24"/>
        </w:rPr>
        <w:t>Teikti</w:t>
      </w:r>
      <w:proofErr w:type="spellEnd"/>
      <w:r w:rsidRPr="005E5299">
        <w:rPr>
          <w:b/>
          <w:szCs w:val="24"/>
        </w:rPr>
        <w:t xml:space="preserve"> </w:t>
      </w:r>
      <w:proofErr w:type="spellStart"/>
      <w:r w:rsidRPr="005E5299">
        <w:rPr>
          <w:b/>
          <w:szCs w:val="24"/>
        </w:rPr>
        <w:t>kokybiškas</w:t>
      </w:r>
      <w:proofErr w:type="spellEnd"/>
      <w:r w:rsidRPr="005E5299">
        <w:rPr>
          <w:b/>
          <w:szCs w:val="24"/>
        </w:rPr>
        <w:t xml:space="preserve"> </w:t>
      </w:r>
      <w:proofErr w:type="spellStart"/>
      <w:r w:rsidRPr="005E5299">
        <w:rPr>
          <w:b/>
          <w:szCs w:val="24"/>
        </w:rPr>
        <w:t>neformaliojo</w:t>
      </w:r>
      <w:proofErr w:type="spellEnd"/>
      <w:r w:rsidRPr="005E5299">
        <w:rPr>
          <w:b/>
          <w:szCs w:val="24"/>
        </w:rPr>
        <w:t xml:space="preserve"> </w:t>
      </w:r>
      <w:proofErr w:type="spellStart"/>
      <w:r w:rsidRPr="005E5299">
        <w:rPr>
          <w:b/>
          <w:szCs w:val="24"/>
        </w:rPr>
        <w:t>švietimo</w:t>
      </w:r>
      <w:proofErr w:type="spellEnd"/>
      <w:r w:rsidRPr="005E5299">
        <w:rPr>
          <w:b/>
          <w:szCs w:val="24"/>
        </w:rPr>
        <w:t xml:space="preserve">, </w:t>
      </w:r>
      <w:proofErr w:type="spellStart"/>
      <w:r w:rsidRPr="005E5299">
        <w:rPr>
          <w:b/>
          <w:szCs w:val="24"/>
        </w:rPr>
        <w:t>mokymo</w:t>
      </w:r>
      <w:proofErr w:type="spellEnd"/>
      <w:r w:rsidRPr="005E5299">
        <w:rPr>
          <w:b/>
          <w:szCs w:val="24"/>
        </w:rPr>
        <w:t xml:space="preserve"> </w:t>
      </w:r>
      <w:proofErr w:type="spellStart"/>
      <w:r w:rsidRPr="005E5299">
        <w:rPr>
          <w:b/>
          <w:szCs w:val="24"/>
        </w:rPr>
        <w:t>plaukti</w:t>
      </w:r>
      <w:proofErr w:type="spellEnd"/>
      <w:r w:rsidRPr="005E5299">
        <w:rPr>
          <w:b/>
          <w:szCs w:val="24"/>
        </w:rPr>
        <w:t xml:space="preserve"> </w:t>
      </w:r>
      <w:proofErr w:type="spellStart"/>
      <w:r w:rsidRPr="005E5299">
        <w:rPr>
          <w:b/>
          <w:szCs w:val="24"/>
        </w:rPr>
        <w:t>ir</w:t>
      </w:r>
      <w:proofErr w:type="spellEnd"/>
      <w:r w:rsidRPr="005E5299">
        <w:rPr>
          <w:b/>
          <w:szCs w:val="24"/>
        </w:rPr>
        <w:t xml:space="preserve"> </w:t>
      </w:r>
      <w:proofErr w:type="spellStart"/>
      <w:r w:rsidRPr="005E5299">
        <w:rPr>
          <w:b/>
          <w:szCs w:val="24"/>
        </w:rPr>
        <w:t>sportininkų</w:t>
      </w:r>
      <w:proofErr w:type="spellEnd"/>
      <w:r w:rsidRPr="005E5299">
        <w:rPr>
          <w:b/>
          <w:szCs w:val="24"/>
        </w:rPr>
        <w:t xml:space="preserve"> </w:t>
      </w:r>
      <w:proofErr w:type="spellStart"/>
      <w:r w:rsidRPr="005E5299">
        <w:rPr>
          <w:b/>
          <w:szCs w:val="24"/>
        </w:rPr>
        <w:t>rengimo</w:t>
      </w:r>
      <w:proofErr w:type="spellEnd"/>
      <w:r w:rsidRPr="005E5299">
        <w:rPr>
          <w:b/>
          <w:szCs w:val="24"/>
        </w:rPr>
        <w:t xml:space="preserve"> </w:t>
      </w:r>
      <w:proofErr w:type="spellStart"/>
      <w:r w:rsidRPr="005E5299">
        <w:rPr>
          <w:b/>
          <w:szCs w:val="24"/>
        </w:rPr>
        <w:t>paslaugas</w:t>
      </w:r>
      <w:proofErr w:type="spellEnd"/>
      <w:r w:rsidRPr="005E5299">
        <w:rPr>
          <w:b/>
          <w:szCs w:val="24"/>
        </w:rPr>
        <w:t>.</w:t>
      </w:r>
      <w:proofErr w:type="gramEnd"/>
      <w:r w:rsidRPr="005E5299">
        <w:rPr>
          <w:b/>
          <w:szCs w:val="24"/>
          <w:lang w:val="lt-LT"/>
        </w:rPr>
        <w:t xml:space="preserve"> </w:t>
      </w:r>
    </w:p>
    <w:p w:rsidR="004F5986" w:rsidRPr="004C6A85" w:rsidRDefault="004F5986" w:rsidP="004F5986">
      <w:pPr>
        <w:pStyle w:val="BodyText"/>
        <w:ind w:firstLine="540"/>
        <w:rPr>
          <w:bCs/>
          <w:szCs w:val="24"/>
          <w:lang w:val="lt-LT"/>
        </w:rPr>
      </w:pPr>
      <w:r w:rsidRPr="004C6A85">
        <w:rPr>
          <w:szCs w:val="24"/>
          <w:lang w:val="lt-LT"/>
        </w:rPr>
        <w:t xml:space="preserve">Plaukimo sportas, tai pati efektyviausia sveikatinimo ir fizinio lavinimo priemonė. Įgyvendinant šį veiklos planą, siekiama sudominti ir įtraukti kuo daugiau vaikų-jaunimo į plaukimo bei plaukimo su pelekais sporto šakas, sudaryti geras sąlygas išmokti plaukti, siekti meistriškumo, garantuoti jų užimtumą laisvalaikiu. </w:t>
      </w:r>
      <w:r w:rsidRPr="004C6A85">
        <w:rPr>
          <w:bCs/>
          <w:szCs w:val="24"/>
          <w:lang w:val="lt-LT"/>
        </w:rPr>
        <w:t>Teikti mokamas sportinės veiklos paslaugas, o surinktas lėšas skirti sporto bazės gerinimui, inventoriaus atnaujinimui, mokomojo proceso organizavimui bei sportinių renginių vykdymui.</w:t>
      </w:r>
    </w:p>
    <w:p w:rsidR="004F5986" w:rsidRPr="004C6A85" w:rsidRDefault="004F5986" w:rsidP="004F5986">
      <w:pPr>
        <w:ind w:firstLine="540"/>
        <w:jc w:val="both"/>
      </w:pPr>
      <w:r w:rsidRPr="004C6A85">
        <w:t>Rezultat</w:t>
      </w:r>
      <w:r>
        <w:t>ų</w:t>
      </w:r>
      <w:r w:rsidRPr="004C6A85">
        <w:t xml:space="preserve"> vertinimo kriterijai:</w:t>
      </w:r>
    </w:p>
    <w:tbl>
      <w:tblPr>
        <w:tblW w:w="8675" w:type="dxa"/>
        <w:jc w:val="center"/>
        <w:tblInd w:w="-1794"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39"/>
        <w:gridCol w:w="1134"/>
        <w:gridCol w:w="1134"/>
        <w:gridCol w:w="1134"/>
        <w:gridCol w:w="1134"/>
      </w:tblGrid>
      <w:tr w:rsidR="004F5986" w:rsidRPr="004C6A85" w:rsidTr="00260DE7">
        <w:trPr>
          <w:tblHeader/>
          <w:jc w:val="center"/>
        </w:trPr>
        <w:tc>
          <w:tcPr>
            <w:tcW w:w="4139" w:type="dxa"/>
            <w:tcMar>
              <w:top w:w="28" w:type="dxa"/>
              <w:left w:w="57" w:type="dxa"/>
              <w:bottom w:w="28" w:type="dxa"/>
              <w:right w:w="57" w:type="dxa"/>
            </w:tcMar>
            <w:vAlign w:val="center"/>
            <w:hideMark/>
          </w:tcPr>
          <w:p w:rsidR="004F5986" w:rsidRPr="004C6A85" w:rsidRDefault="004F5986" w:rsidP="00260DE7">
            <w:pPr>
              <w:keepNext/>
              <w:spacing w:before="100" w:beforeAutospacing="1" w:after="100" w:afterAutospacing="1"/>
              <w:jc w:val="center"/>
            </w:pPr>
            <w:r w:rsidRPr="004C6A85">
              <w:t>Rezultato vertinimo kriterijaus pavadinimas ir mato vienetas</w:t>
            </w:r>
          </w:p>
        </w:tc>
        <w:tc>
          <w:tcPr>
            <w:tcW w:w="1134" w:type="dxa"/>
            <w:tcMar>
              <w:top w:w="28" w:type="dxa"/>
              <w:left w:w="57" w:type="dxa"/>
              <w:bottom w:w="28" w:type="dxa"/>
              <w:right w:w="57" w:type="dxa"/>
            </w:tcMar>
            <w:vAlign w:val="center"/>
            <w:hideMark/>
          </w:tcPr>
          <w:p w:rsidR="004F5986" w:rsidRPr="004C6A85" w:rsidRDefault="004F5986" w:rsidP="00260DE7">
            <w:pPr>
              <w:keepNext/>
              <w:spacing w:before="100" w:beforeAutospacing="1" w:after="100" w:afterAutospacing="1"/>
              <w:jc w:val="center"/>
            </w:pPr>
            <w:r w:rsidRPr="004C6A85">
              <w:rPr>
                <w:i/>
                <w:iCs/>
              </w:rPr>
              <w:t>2012</w:t>
            </w:r>
            <w:r w:rsidRPr="004C6A85">
              <w:t>-ųjų metų faktas</w:t>
            </w:r>
          </w:p>
        </w:tc>
        <w:tc>
          <w:tcPr>
            <w:tcW w:w="1134" w:type="dxa"/>
            <w:tcMar>
              <w:top w:w="28" w:type="dxa"/>
              <w:left w:w="57" w:type="dxa"/>
              <w:bottom w:w="28" w:type="dxa"/>
              <w:right w:w="57" w:type="dxa"/>
            </w:tcMar>
            <w:vAlign w:val="center"/>
            <w:hideMark/>
          </w:tcPr>
          <w:p w:rsidR="004F5986" w:rsidRPr="004C6A85" w:rsidRDefault="004F5986" w:rsidP="00260DE7">
            <w:pPr>
              <w:keepNext/>
              <w:spacing w:before="100" w:beforeAutospacing="1" w:after="100" w:afterAutospacing="1"/>
              <w:jc w:val="center"/>
              <w:rPr>
                <w:i/>
                <w:iCs/>
              </w:rPr>
            </w:pPr>
            <w:r w:rsidRPr="004C6A85">
              <w:rPr>
                <w:i/>
                <w:iCs/>
              </w:rPr>
              <w:t>2013-ųjų</w:t>
            </w:r>
          </w:p>
          <w:p w:rsidR="004F5986" w:rsidRPr="004C6A85" w:rsidRDefault="004F5986" w:rsidP="00260DE7">
            <w:pPr>
              <w:keepNext/>
              <w:spacing w:before="100" w:beforeAutospacing="1" w:after="100" w:afterAutospacing="1"/>
              <w:jc w:val="center"/>
            </w:pPr>
            <w:r w:rsidRPr="004C6A85">
              <w:t>metų</w:t>
            </w:r>
          </w:p>
        </w:tc>
        <w:tc>
          <w:tcPr>
            <w:tcW w:w="1134" w:type="dxa"/>
            <w:tcMar>
              <w:top w:w="28" w:type="dxa"/>
              <w:left w:w="57" w:type="dxa"/>
              <w:bottom w:w="28" w:type="dxa"/>
              <w:right w:w="57" w:type="dxa"/>
            </w:tcMar>
            <w:vAlign w:val="center"/>
            <w:hideMark/>
          </w:tcPr>
          <w:p w:rsidR="004F5986" w:rsidRPr="004C6A85" w:rsidRDefault="004F5986" w:rsidP="00260DE7">
            <w:pPr>
              <w:keepNext/>
              <w:spacing w:before="100" w:beforeAutospacing="1" w:after="100" w:afterAutospacing="1"/>
              <w:jc w:val="center"/>
            </w:pPr>
            <w:r w:rsidRPr="004C6A85">
              <w:t>2014-ųjų</w:t>
            </w:r>
          </w:p>
          <w:p w:rsidR="004F5986" w:rsidRPr="004C6A85" w:rsidRDefault="004F5986" w:rsidP="00260DE7">
            <w:pPr>
              <w:keepNext/>
              <w:spacing w:before="100" w:beforeAutospacing="1" w:after="100" w:afterAutospacing="1"/>
              <w:jc w:val="center"/>
            </w:pPr>
            <w:r w:rsidRPr="004C6A85">
              <w:t>metų</w:t>
            </w:r>
          </w:p>
        </w:tc>
        <w:tc>
          <w:tcPr>
            <w:tcW w:w="1134" w:type="dxa"/>
            <w:tcMar>
              <w:top w:w="28" w:type="dxa"/>
              <w:left w:w="57" w:type="dxa"/>
              <w:bottom w:w="28" w:type="dxa"/>
              <w:right w:w="57" w:type="dxa"/>
            </w:tcMar>
            <w:vAlign w:val="center"/>
            <w:hideMark/>
          </w:tcPr>
          <w:p w:rsidR="004F5986" w:rsidRPr="004C6A85" w:rsidRDefault="004F5986" w:rsidP="00260DE7">
            <w:pPr>
              <w:keepNext/>
              <w:spacing w:before="100" w:beforeAutospacing="1" w:after="100" w:afterAutospacing="1"/>
              <w:jc w:val="center"/>
            </w:pPr>
            <w:r w:rsidRPr="004C6A85">
              <w:t>2015-ųjų</w:t>
            </w:r>
          </w:p>
          <w:p w:rsidR="004F5986" w:rsidRPr="004C6A85" w:rsidRDefault="004F5986" w:rsidP="00260DE7">
            <w:pPr>
              <w:keepNext/>
              <w:spacing w:before="100" w:beforeAutospacing="1" w:after="100" w:afterAutospacing="1"/>
              <w:jc w:val="center"/>
            </w:pPr>
            <w:r w:rsidRPr="004C6A85">
              <w:t>metų</w:t>
            </w:r>
          </w:p>
        </w:tc>
      </w:tr>
      <w:tr w:rsidR="004F5986" w:rsidRPr="004C6A85" w:rsidTr="00260DE7">
        <w:trPr>
          <w:jc w:val="center"/>
        </w:trPr>
        <w:tc>
          <w:tcPr>
            <w:tcW w:w="4139" w:type="dxa"/>
            <w:tcMar>
              <w:top w:w="28" w:type="dxa"/>
              <w:left w:w="57" w:type="dxa"/>
              <w:bottom w:w="28" w:type="dxa"/>
              <w:right w:w="57" w:type="dxa"/>
            </w:tcMar>
            <w:hideMark/>
          </w:tcPr>
          <w:p w:rsidR="004F5986" w:rsidRPr="004C6A85" w:rsidRDefault="004F5986" w:rsidP="00260DE7">
            <w:pPr>
              <w:spacing w:before="100" w:beforeAutospacing="1" w:after="100" w:afterAutospacing="1"/>
              <w:jc w:val="both"/>
            </w:pPr>
            <w:r w:rsidRPr="004C6A85">
              <w:t>1. Meistriškumo ugdymo grupių skaičius.</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14</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14</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15</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15</w:t>
            </w:r>
          </w:p>
        </w:tc>
      </w:tr>
      <w:tr w:rsidR="004F5986" w:rsidRPr="004C6A85" w:rsidTr="00260DE7">
        <w:trPr>
          <w:jc w:val="center"/>
        </w:trPr>
        <w:tc>
          <w:tcPr>
            <w:tcW w:w="4139" w:type="dxa"/>
            <w:tcMar>
              <w:top w:w="28" w:type="dxa"/>
              <w:left w:w="57" w:type="dxa"/>
              <w:bottom w:w="28" w:type="dxa"/>
              <w:right w:w="57" w:type="dxa"/>
            </w:tcMar>
            <w:hideMark/>
          </w:tcPr>
          <w:p w:rsidR="004F5986" w:rsidRPr="004C6A85" w:rsidRDefault="004F5986" w:rsidP="00260DE7">
            <w:pPr>
              <w:keepNext/>
              <w:spacing w:before="100" w:beforeAutospacing="1" w:after="100" w:afterAutospacing="1"/>
              <w:jc w:val="both"/>
            </w:pPr>
            <w:r w:rsidRPr="004C6A85">
              <w:t>2.Meistriškumo tobulinimo grupių skaičius.</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4</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4</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4</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5</w:t>
            </w:r>
          </w:p>
        </w:tc>
      </w:tr>
      <w:tr w:rsidR="004F5986" w:rsidRPr="004C6A85" w:rsidTr="00260DE7">
        <w:trPr>
          <w:jc w:val="center"/>
        </w:trPr>
        <w:tc>
          <w:tcPr>
            <w:tcW w:w="4139" w:type="dxa"/>
            <w:tcMar>
              <w:top w:w="28" w:type="dxa"/>
              <w:left w:w="57" w:type="dxa"/>
              <w:bottom w:w="28" w:type="dxa"/>
              <w:right w:w="57" w:type="dxa"/>
            </w:tcMar>
            <w:hideMark/>
          </w:tcPr>
          <w:p w:rsidR="004F5986" w:rsidRPr="004C6A85" w:rsidRDefault="004F5986" w:rsidP="00260DE7">
            <w:pPr>
              <w:keepNext/>
              <w:spacing w:before="100" w:beforeAutospacing="1" w:after="100" w:afterAutospacing="1"/>
              <w:jc w:val="both"/>
            </w:pPr>
            <w:r w:rsidRPr="004C6A85">
              <w:t>3.Didelio meistriškumo grupių skaičius.</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1</w:t>
            </w:r>
          </w:p>
        </w:tc>
      </w:tr>
      <w:tr w:rsidR="004F5986" w:rsidRPr="004C6A85" w:rsidTr="00260DE7">
        <w:trPr>
          <w:jc w:val="center"/>
        </w:trPr>
        <w:tc>
          <w:tcPr>
            <w:tcW w:w="4139" w:type="dxa"/>
            <w:tcMar>
              <w:top w:w="28" w:type="dxa"/>
              <w:left w:w="57" w:type="dxa"/>
              <w:bottom w:w="28" w:type="dxa"/>
              <w:right w:w="57" w:type="dxa"/>
            </w:tcMar>
            <w:hideMark/>
          </w:tcPr>
          <w:p w:rsidR="004F5986" w:rsidRPr="004C6A85" w:rsidRDefault="004F5986" w:rsidP="00260DE7">
            <w:pPr>
              <w:keepNext/>
              <w:spacing w:before="100" w:beforeAutospacing="1" w:after="100" w:afterAutospacing="1"/>
              <w:jc w:val="both"/>
            </w:pPr>
            <w:r w:rsidRPr="004C6A85">
              <w:rPr>
                <w:bCs/>
              </w:rPr>
              <w:t>4.Šalies varžybų prizininkų skaičius.</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29</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30</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31</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32</w:t>
            </w:r>
          </w:p>
        </w:tc>
      </w:tr>
      <w:tr w:rsidR="004F5986" w:rsidRPr="004C6A85" w:rsidTr="00260DE7">
        <w:trPr>
          <w:jc w:val="center"/>
        </w:trPr>
        <w:tc>
          <w:tcPr>
            <w:tcW w:w="4139" w:type="dxa"/>
            <w:tcMar>
              <w:top w:w="28" w:type="dxa"/>
              <w:left w:w="57" w:type="dxa"/>
              <w:bottom w:w="28" w:type="dxa"/>
              <w:right w:w="57" w:type="dxa"/>
            </w:tcMar>
            <w:hideMark/>
          </w:tcPr>
          <w:p w:rsidR="004F5986" w:rsidRPr="004C6A85" w:rsidRDefault="004F5986" w:rsidP="00260DE7">
            <w:pPr>
              <w:keepNext/>
              <w:spacing w:before="100" w:beforeAutospacing="1" w:after="100" w:afterAutospacing="1"/>
              <w:jc w:val="both"/>
            </w:pPr>
            <w:r w:rsidRPr="004C6A85">
              <w:rPr>
                <w:bCs/>
              </w:rPr>
              <w:t>5.Lietuvos rinktinių (Olimpinės rinktinės kandidatų, nacionalinės, jaunimo, jaunių, jaunučių) narių skaičius.</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21</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20</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20</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20</w:t>
            </w:r>
          </w:p>
        </w:tc>
      </w:tr>
      <w:tr w:rsidR="004F5986" w:rsidRPr="004C6A85" w:rsidTr="00260DE7">
        <w:trPr>
          <w:jc w:val="center"/>
        </w:trPr>
        <w:tc>
          <w:tcPr>
            <w:tcW w:w="4139" w:type="dxa"/>
            <w:tcMar>
              <w:top w:w="28" w:type="dxa"/>
              <w:left w:w="57" w:type="dxa"/>
              <w:bottom w:w="28" w:type="dxa"/>
              <w:right w:w="57" w:type="dxa"/>
            </w:tcMar>
            <w:hideMark/>
          </w:tcPr>
          <w:p w:rsidR="004F5986" w:rsidRPr="004C6A85" w:rsidRDefault="004F5986" w:rsidP="00260DE7">
            <w:pPr>
              <w:keepNext/>
              <w:spacing w:before="100" w:beforeAutospacing="1" w:after="100" w:afterAutospacing="1"/>
              <w:jc w:val="both"/>
            </w:pPr>
            <w:r w:rsidRPr="004C6A85">
              <w:rPr>
                <w:bCs/>
              </w:rPr>
              <w:t>6.Išmokyta plaukti, žm. skaičius</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390</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400</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400</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400</w:t>
            </w:r>
          </w:p>
        </w:tc>
      </w:tr>
      <w:tr w:rsidR="004F5986" w:rsidRPr="004C6A85" w:rsidTr="00260DE7">
        <w:trPr>
          <w:jc w:val="center"/>
        </w:trPr>
        <w:tc>
          <w:tcPr>
            <w:tcW w:w="4139" w:type="dxa"/>
            <w:tcMar>
              <w:top w:w="28" w:type="dxa"/>
              <w:left w:w="57" w:type="dxa"/>
              <w:bottom w:w="28" w:type="dxa"/>
              <w:right w:w="57" w:type="dxa"/>
            </w:tcMar>
            <w:hideMark/>
          </w:tcPr>
          <w:p w:rsidR="004F5986" w:rsidRPr="004C6A85" w:rsidRDefault="004F5986" w:rsidP="00260DE7">
            <w:pPr>
              <w:keepNext/>
              <w:spacing w:before="100" w:beforeAutospacing="1" w:after="100" w:afterAutospacing="1"/>
              <w:jc w:val="both"/>
            </w:pPr>
            <w:r w:rsidRPr="004C6A85">
              <w:rPr>
                <w:bCs/>
              </w:rPr>
              <w:t>7.Suteikta mokamų paslaugų, lankytojų skaičius</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5950</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6000</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6000</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rsidRPr="005E5299">
              <w:t>6000</w:t>
            </w:r>
          </w:p>
        </w:tc>
      </w:tr>
      <w:tr w:rsidR="004F5986" w:rsidRPr="004C6A85" w:rsidTr="00260DE7">
        <w:trPr>
          <w:jc w:val="center"/>
        </w:trPr>
        <w:tc>
          <w:tcPr>
            <w:tcW w:w="4139" w:type="dxa"/>
            <w:tcMar>
              <w:top w:w="28" w:type="dxa"/>
              <w:left w:w="57" w:type="dxa"/>
              <w:bottom w:w="28" w:type="dxa"/>
              <w:right w:w="57" w:type="dxa"/>
            </w:tcMar>
            <w:hideMark/>
          </w:tcPr>
          <w:p w:rsidR="004F5986" w:rsidRPr="004C6A85" w:rsidRDefault="004F5986" w:rsidP="00260DE7">
            <w:pPr>
              <w:keepNext/>
              <w:spacing w:before="100" w:beforeAutospacing="1" w:after="100" w:afterAutospacing="1"/>
              <w:jc w:val="both"/>
              <w:rPr>
                <w:bCs/>
              </w:rPr>
            </w:pPr>
            <w:r>
              <w:rPr>
                <w:bCs/>
              </w:rPr>
              <w:t>8.Inicijuoti stipendijų mokėjimą didelio   meistriškumo ir perspektyviems sportininkams</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t>0</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t>1</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t>2</w:t>
            </w:r>
          </w:p>
        </w:tc>
        <w:tc>
          <w:tcPr>
            <w:tcW w:w="1134" w:type="dxa"/>
            <w:tcMar>
              <w:top w:w="28" w:type="dxa"/>
              <w:left w:w="57" w:type="dxa"/>
              <w:bottom w:w="28" w:type="dxa"/>
              <w:right w:w="57" w:type="dxa"/>
            </w:tcMar>
            <w:hideMark/>
          </w:tcPr>
          <w:p w:rsidR="004F5986" w:rsidRPr="005E5299" w:rsidRDefault="004F5986" w:rsidP="00260DE7">
            <w:pPr>
              <w:spacing w:before="100" w:beforeAutospacing="1" w:after="100" w:afterAutospacing="1"/>
            </w:pPr>
            <w:r>
              <w:t>2</w:t>
            </w:r>
          </w:p>
        </w:tc>
      </w:tr>
    </w:tbl>
    <w:p w:rsidR="004F5986" w:rsidRPr="004C6A85" w:rsidRDefault="004F5986" w:rsidP="004F5986">
      <w:pPr>
        <w:jc w:val="both"/>
        <w:rPr>
          <w:b/>
          <w:bCs/>
          <w:lang w:eastAsia="lt-LT"/>
        </w:rPr>
      </w:pPr>
    </w:p>
    <w:p w:rsidR="004F5986" w:rsidRPr="004C6A85" w:rsidRDefault="004F5986" w:rsidP="004F5986">
      <w:pPr>
        <w:pStyle w:val="BodyText"/>
        <w:rPr>
          <w:b/>
          <w:bCs/>
          <w:szCs w:val="24"/>
          <w:lang w:val="lt-LT"/>
        </w:rPr>
      </w:pPr>
      <w:r w:rsidRPr="004C6A85">
        <w:rPr>
          <w:b/>
          <w:bCs/>
          <w:szCs w:val="24"/>
          <w:lang w:val="lt-LT"/>
        </w:rPr>
        <w:t xml:space="preserve">01 Uždavinys: </w:t>
      </w:r>
    </w:p>
    <w:p w:rsidR="004F5986" w:rsidRDefault="004F5986" w:rsidP="004F5986">
      <w:pPr>
        <w:pStyle w:val="BodyText"/>
        <w:ind w:firstLine="540"/>
        <w:rPr>
          <w:bCs/>
          <w:color w:val="FF0000"/>
          <w:szCs w:val="24"/>
        </w:rPr>
      </w:pPr>
      <w:r w:rsidRPr="004C6A85">
        <w:rPr>
          <w:b/>
          <w:szCs w:val="24"/>
          <w:lang w:val="lt-LT"/>
        </w:rPr>
        <w:t>Mokomojo proceso organizavimas ir vykdymas.</w:t>
      </w:r>
      <w:r w:rsidRPr="004C6A85">
        <w:rPr>
          <w:bCs/>
          <w:color w:val="FF0000"/>
          <w:szCs w:val="24"/>
        </w:rPr>
        <w:t xml:space="preserve"> </w:t>
      </w:r>
    </w:p>
    <w:p w:rsidR="004F5986" w:rsidRPr="004C6A85" w:rsidRDefault="004F5986" w:rsidP="004F5986">
      <w:pPr>
        <w:pStyle w:val="BodyText"/>
        <w:ind w:firstLine="540"/>
        <w:rPr>
          <w:szCs w:val="24"/>
          <w:lang w:val="lt-LT"/>
        </w:rPr>
      </w:pPr>
      <w:r w:rsidRPr="004C6A85">
        <w:rPr>
          <w:szCs w:val="24"/>
          <w:lang w:val="lt-LT"/>
        </w:rPr>
        <w:t>Įgyvendinant šį uždavinį siekiama užtikrinti įstaigos efektyvią veiklą bei jos funkcionavimą. Pagrindinė „Gintaro“ sporto centro veikla – ugdyti plaukimo bei plaukimo su pelekais sportininkus, per apmokymą plaukti vykdyti perspektyvių mokinių atranką ir siekti aukštų sportinių rezultatų.</w:t>
      </w:r>
    </w:p>
    <w:p w:rsidR="004F5986" w:rsidRPr="004C6A85" w:rsidRDefault="004F5986" w:rsidP="004F5986">
      <w:pPr>
        <w:pStyle w:val="BodyText"/>
        <w:ind w:firstLine="540"/>
        <w:rPr>
          <w:szCs w:val="24"/>
          <w:lang w:val="lt-LT"/>
        </w:rPr>
      </w:pPr>
      <w:r w:rsidRPr="004C6A85">
        <w:rPr>
          <w:szCs w:val="24"/>
          <w:lang w:val="lt-LT"/>
        </w:rPr>
        <w:t xml:space="preserve">Organizuojant ir vykdant mokomąjį procesą, svarbu užtikrinti įstaigos išlaikymą, darbuotojų samdą ir jų kvalifikacijos kėlimą, sportininkų dalyvavimą Respublikinėse varžybose, vykdyti miesto plaukimo </w:t>
      </w:r>
      <w:r>
        <w:rPr>
          <w:szCs w:val="24"/>
          <w:lang w:val="lt-LT"/>
        </w:rPr>
        <w:t>ir</w:t>
      </w:r>
      <w:r w:rsidRPr="004C6A85">
        <w:rPr>
          <w:szCs w:val="24"/>
          <w:lang w:val="lt-LT"/>
        </w:rPr>
        <w:t xml:space="preserve"> plaukimo su pelekais varžy</w:t>
      </w:r>
      <w:r>
        <w:rPr>
          <w:szCs w:val="24"/>
          <w:lang w:val="lt-LT"/>
        </w:rPr>
        <w:t>bas bei kitus renginius.</w:t>
      </w:r>
      <w:r w:rsidRPr="004C6A85">
        <w:rPr>
          <w:szCs w:val="24"/>
          <w:lang w:val="lt-LT"/>
        </w:rPr>
        <w:t xml:space="preserve"> </w:t>
      </w:r>
    </w:p>
    <w:p w:rsidR="004F5986" w:rsidRPr="004C6A85" w:rsidRDefault="004F5986" w:rsidP="004F5986">
      <w:pPr>
        <w:pStyle w:val="BodyText"/>
        <w:ind w:firstLine="540"/>
        <w:rPr>
          <w:szCs w:val="24"/>
          <w:lang w:val="lt-LT"/>
        </w:rPr>
      </w:pPr>
    </w:p>
    <w:p w:rsidR="004F5986" w:rsidRPr="004C6A85" w:rsidRDefault="004F5986" w:rsidP="004F5986">
      <w:pPr>
        <w:pStyle w:val="BodyText"/>
        <w:ind w:firstLine="540"/>
        <w:rPr>
          <w:bCs/>
          <w:szCs w:val="24"/>
          <w:lang w:val="lt-LT"/>
        </w:rPr>
      </w:pPr>
      <w:r w:rsidRPr="004C6A85">
        <w:rPr>
          <w:b/>
          <w:szCs w:val="24"/>
          <w:lang w:val="lt-LT"/>
        </w:rPr>
        <w:t xml:space="preserve">Priemonės: </w:t>
      </w:r>
      <w:r w:rsidRPr="004C6A85">
        <w:rPr>
          <w:bCs/>
          <w:szCs w:val="24"/>
          <w:lang w:val="lt-LT"/>
        </w:rPr>
        <w:t xml:space="preserve">  </w:t>
      </w:r>
    </w:p>
    <w:p w:rsidR="004F5986" w:rsidRPr="004C6A85" w:rsidRDefault="004F5986" w:rsidP="004F5986">
      <w:pPr>
        <w:pStyle w:val="BodyText"/>
        <w:ind w:firstLine="540"/>
        <w:rPr>
          <w:bCs/>
          <w:szCs w:val="24"/>
          <w:lang w:val="lt-LT"/>
        </w:rPr>
      </w:pPr>
      <w:r w:rsidRPr="004C6A85">
        <w:rPr>
          <w:bCs/>
          <w:szCs w:val="24"/>
          <w:lang w:val="lt-LT"/>
        </w:rPr>
        <w:t>1. Mokomojo sportinio darbo organizavimas ir aptarnavimas.</w:t>
      </w:r>
    </w:p>
    <w:p w:rsidR="004F5986" w:rsidRDefault="004F5986" w:rsidP="004F5986">
      <w:pPr>
        <w:pStyle w:val="BodyText"/>
        <w:ind w:firstLine="540"/>
        <w:rPr>
          <w:szCs w:val="24"/>
          <w:lang w:val="lt-LT"/>
        </w:rPr>
      </w:pPr>
      <w:r w:rsidRPr="004C6A85">
        <w:rPr>
          <w:szCs w:val="24"/>
          <w:lang w:val="lt-LT"/>
        </w:rPr>
        <w:t xml:space="preserve">2. Sporto priemonių organizavimas ir vykdymas (varžybos, sportinės šventės, </w:t>
      </w:r>
      <w:r>
        <w:rPr>
          <w:szCs w:val="24"/>
          <w:lang w:val="lt-LT"/>
        </w:rPr>
        <w:t xml:space="preserve">mokomųjų treniruočių bei sveikatingumo </w:t>
      </w:r>
      <w:r w:rsidRPr="004C6A85">
        <w:rPr>
          <w:szCs w:val="24"/>
          <w:lang w:val="lt-LT"/>
        </w:rPr>
        <w:t>stovyklos</w:t>
      </w:r>
      <w:r>
        <w:rPr>
          <w:szCs w:val="24"/>
          <w:lang w:val="lt-LT"/>
        </w:rPr>
        <w:t>).</w:t>
      </w:r>
    </w:p>
    <w:p w:rsidR="004F5986" w:rsidRDefault="004F5986" w:rsidP="004F5986">
      <w:pPr>
        <w:pStyle w:val="BodyText"/>
        <w:ind w:firstLine="540"/>
        <w:rPr>
          <w:lang w:val="lt-LT"/>
        </w:rPr>
      </w:pPr>
      <w:r>
        <w:rPr>
          <w:szCs w:val="24"/>
          <w:lang w:val="lt-LT"/>
        </w:rPr>
        <w:t>3.</w:t>
      </w:r>
      <w:r w:rsidRPr="004C6A85">
        <w:rPr>
          <w:szCs w:val="24"/>
          <w:lang w:val="lt-LT"/>
        </w:rPr>
        <w:t xml:space="preserve"> </w:t>
      </w:r>
      <w:r>
        <w:rPr>
          <w:lang w:val="lt-LT"/>
        </w:rPr>
        <w:t xml:space="preserve">Sporto priemonių </w:t>
      </w:r>
      <w:r w:rsidRPr="00BE0D60">
        <w:rPr>
          <w:lang w:val="lt-LT"/>
        </w:rPr>
        <w:t>organizavimas ir vykdymas olimpinės pamainos ir didel</w:t>
      </w:r>
      <w:r>
        <w:rPr>
          <w:lang w:val="lt-LT"/>
        </w:rPr>
        <w:t>io meistriškumo sportininkams (</w:t>
      </w:r>
      <w:r w:rsidRPr="00BE0D60">
        <w:rPr>
          <w:lang w:val="lt-LT"/>
        </w:rPr>
        <w:t>mokom</w:t>
      </w:r>
      <w:r>
        <w:rPr>
          <w:lang w:val="lt-LT"/>
        </w:rPr>
        <w:t>ųjų treniruočių</w:t>
      </w:r>
      <w:r w:rsidRPr="00BE0D60">
        <w:rPr>
          <w:lang w:val="lt-LT"/>
        </w:rPr>
        <w:t xml:space="preserve"> stovyklos ir atstatomosios priemonės, dalyvavimas </w:t>
      </w:r>
      <w:r>
        <w:rPr>
          <w:lang w:val="lt-LT"/>
        </w:rPr>
        <w:t xml:space="preserve">šalies, </w:t>
      </w:r>
      <w:r w:rsidRPr="00BE0D60">
        <w:rPr>
          <w:lang w:val="lt-LT"/>
        </w:rPr>
        <w:t>FINA</w:t>
      </w:r>
      <w:r>
        <w:rPr>
          <w:lang w:val="lt-LT"/>
        </w:rPr>
        <w:t>,</w:t>
      </w:r>
      <w:r w:rsidRPr="00BE0D60">
        <w:rPr>
          <w:lang w:val="lt-LT"/>
        </w:rPr>
        <w:t xml:space="preserve"> LEN kalendoriaus </w:t>
      </w:r>
      <w:r>
        <w:rPr>
          <w:lang w:val="lt-LT"/>
        </w:rPr>
        <w:t xml:space="preserve">bei kitose </w:t>
      </w:r>
      <w:r w:rsidRPr="00BE0D60">
        <w:rPr>
          <w:lang w:val="lt-LT"/>
        </w:rPr>
        <w:t>varžybose).</w:t>
      </w:r>
    </w:p>
    <w:p w:rsidR="004F5986" w:rsidRDefault="004F5986" w:rsidP="004F5986">
      <w:pPr>
        <w:pStyle w:val="BodyText"/>
        <w:rPr>
          <w:b/>
          <w:bCs/>
          <w:szCs w:val="24"/>
          <w:lang w:val="lt-LT"/>
        </w:rPr>
      </w:pPr>
    </w:p>
    <w:p w:rsidR="004F5986" w:rsidRPr="004C6A85" w:rsidRDefault="004F5986" w:rsidP="004F5986">
      <w:pPr>
        <w:pStyle w:val="BodyText"/>
        <w:rPr>
          <w:b/>
          <w:bCs/>
          <w:szCs w:val="24"/>
          <w:lang w:val="lt-LT"/>
        </w:rPr>
      </w:pPr>
      <w:r w:rsidRPr="004C6A85">
        <w:rPr>
          <w:b/>
          <w:bCs/>
          <w:szCs w:val="24"/>
          <w:lang w:val="lt-LT"/>
        </w:rPr>
        <w:t xml:space="preserve">02 Uždavinys: </w:t>
      </w:r>
    </w:p>
    <w:p w:rsidR="004F5986" w:rsidRPr="007D1A4B" w:rsidRDefault="004F5986" w:rsidP="004F5986">
      <w:pPr>
        <w:pStyle w:val="Header"/>
        <w:spacing w:before="0" w:beforeAutospacing="0" w:after="0" w:afterAutospacing="0"/>
        <w:ind w:firstLine="540"/>
      </w:pPr>
      <w:r w:rsidRPr="004C6A85">
        <w:rPr>
          <w:b/>
        </w:rPr>
        <w:t>Užtikrinti kokybišką kūno kultūros ir sporto veiklos įgyvendinimą</w:t>
      </w:r>
      <w:r>
        <w:rPr>
          <w:b/>
        </w:rPr>
        <w:t>.</w:t>
      </w:r>
      <w:r w:rsidRPr="004C6A85">
        <w:rPr>
          <w:bCs/>
          <w:color w:val="FF0000"/>
        </w:rPr>
        <w:t xml:space="preserve"> </w:t>
      </w:r>
    </w:p>
    <w:p w:rsidR="004F5986" w:rsidRPr="007D1A4B" w:rsidRDefault="004F5986" w:rsidP="004F5986">
      <w:pPr>
        <w:pStyle w:val="BodyText"/>
        <w:ind w:firstLine="540"/>
        <w:rPr>
          <w:szCs w:val="24"/>
          <w:lang w:val="lt-LT"/>
        </w:rPr>
      </w:pPr>
      <w:r w:rsidRPr="007D1A4B">
        <w:rPr>
          <w:szCs w:val="24"/>
          <w:lang w:val="lt-LT"/>
        </w:rPr>
        <w:t>Užtikrinti įstaigos efektyvią veiklą bei jos funkcionavimą. Sudaryti geras sąlygas, kokybiškai ir efektyviai teikti papildomo ugdymo paslaugas, kuo daugiau sudominti ir įtraukti jaunimo sportuoti, stiprėti fiziškai bei dvasiškai, garantuoti jų užimtumą laisvalaikiu, vykdyti nusikalstamumo ir toksikomanijos prevenciją.</w:t>
      </w:r>
    </w:p>
    <w:p w:rsidR="004F5986" w:rsidRPr="007D1A4B" w:rsidRDefault="004F5986" w:rsidP="004F5986">
      <w:pPr>
        <w:pStyle w:val="BodyText"/>
        <w:rPr>
          <w:b/>
          <w:szCs w:val="24"/>
          <w:lang w:val="lt-LT"/>
        </w:rPr>
      </w:pPr>
    </w:p>
    <w:p w:rsidR="004F5986" w:rsidRPr="004C6A85" w:rsidRDefault="004F5986" w:rsidP="004F5986">
      <w:pPr>
        <w:pStyle w:val="BodyText"/>
        <w:rPr>
          <w:bCs/>
          <w:szCs w:val="24"/>
          <w:lang w:val="lt-LT"/>
        </w:rPr>
      </w:pPr>
      <w:r w:rsidRPr="004C6A85">
        <w:rPr>
          <w:b/>
          <w:szCs w:val="24"/>
          <w:lang w:val="lt-LT"/>
        </w:rPr>
        <w:t xml:space="preserve">Priemonės: </w:t>
      </w:r>
      <w:r w:rsidRPr="004C6A85">
        <w:rPr>
          <w:bCs/>
          <w:szCs w:val="24"/>
          <w:lang w:val="lt-LT"/>
        </w:rPr>
        <w:t xml:space="preserve">  </w:t>
      </w:r>
    </w:p>
    <w:p w:rsidR="004F5986" w:rsidRPr="004C6A85" w:rsidRDefault="004F5986" w:rsidP="004F5986">
      <w:pPr>
        <w:pStyle w:val="BodyText"/>
        <w:numPr>
          <w:ilvl w:val="0"/>
          <w:numId w:val="3"/>
        </w:numPr>
        <w:rPr>
          <w:bCs/>
          <w:szCs w:val="24"/>
          <w:lang w:val="lt-LT"/>
        </w:rPr>
      </w:pPr>
      <w:r w:rsidRPr="004C6A85">
        <w:rPr>
          <w:bCs/>
          <w:szCs w:val="24"/>
          <w:lang w:val="lt-LT"/>
        </w:rPr>
        <w:t>Įstaigos išlaikymas.</w:t>
      </w:r>
    </w:p>
    <w:p w:rsidR="004F5986" w:rsidRPr="004C6A85" w:rsidRDefault="004F5986" w:rsidP="004F5986">
      <w:pPr>
        <w:pStyle w:val="BodyText"/>
        <w:numPr>
          <w:ilvl w:val="0"/>
          <w:numId w:val="3"/>
        </w:numPr>
        <w:jc w:val="left"/>
        <w:rPr>
          <w:bCs/>
          <w:szCs w:val="24"/>
          <w:lang w:val="lt-LT"/>
        </w:rPr>
      </w:pPr>
      <w:r w:rsidRPr="004C6A85">
        <w:rPr>
          <w:bCs/>
          <w:szCs w:val="24"/>
          <w:lang w:val="lt-LT"/>
        </w:rPr>
        <w:t>Sportinio inventoriaus įsigijimas.</w:t>
      </w:r>
    </w:p>
    <w:p w:rsidR="004F5986" w:rsidRPr="004C6A85" w:rsidRDefault="004F5986" w:rsidP="004F5986">
      <w:pPr>
        <w:pStyle w:val="BodyText"/>
        <w:numPr>
          <w:ilvl w:val="0"/>
          <w:numId w:val="3"/>
        </w:numPr>
        <w:jc w:val="left"/>
        <w:rPr>
          <w:bCs/>
          <w:szCs w:val="24"/>
          <w:lang w:val="lt-LT"/>
        </w:rPr>
      </w:pPr>
      <w:r w:rsidRPr="004C6A85">
        <w:rPr>
          <w:bCs/>
          <w:szCs w:val="24"/>
          <w:lang w:val="lt-LT"/>
        </w:rPr>
        <w:t>A</w:t>
      </w:r>
      <w:r w:rsidRPr="004C6A85">
        <w:rPr>
          <w:szCs w:val="24"/>
          <w:lang w:val="lt-LT"/>
        </w:rPr>
        <w:t>prangos įsigijimas.</w:t>
      </w:r>
    </w:p>
    <w:p w:rsidR="004F5986" w:rsidRPr="004C6A85" w:rsidRDefault="004F5986" w:rsidP="004F5986">
      <w:pPr>
        <w:pStyle w:val="BodyText"/>
        <w:ind w:firstLine="540"/>
        <w:rPr>
          <w:szCs w:val="24"/>
          <w:lang w:val="lt-LT"/>
        </w:rPr>
      </w:pPr>
      <w:r w:rsidRPr="004C6A85">
        <w:rPr>
          <w:bCs/>
          <w:szCs w:val="24"/>
        </w:rPr>
        <w:t>.</w:t>
      </w:r>
    </w:p>
    <w:p w:rsidR="004F5986" w:rsidRPr="004C6A85" w:rsidRDefault="004F5986" w:rsidP="004F5986">
      <w:pPr>
        <w:pStyle w:val="BodyText"/>
        <w:ind w:firstLine="540"/>
        <w:rPr>
          <w:szCs w:val="24"/>
          <w:lang w:val="lt-LT"/>
        </w:rPr>
      </w:pPr>
    </w:p>
    <w:p w:rsidR="004F5986" w:rsidRPr="004C6A85" w:rsidRDefault="004F5986" w:rsidP="004F5986">
      <w:pPr>
        <w:pStyle w:val="BodyText"/>
        <w:ind w:firstLine="540"/>
        <w:rPr>
          <w:szCs w:val="24"/>
          <w:lang w:val="lt-LT"/>
        </w:rPr>
      </w:pPr>
    </w:p>
    <w:p w:rsidR="004F5986" w:rsidRPr="004C6A85" w:rsidRDefault="004F5986" w:rsidP="004F5986">
      <w:pPr>
        <w:jc w:val="both"/>
        <w:rPr>
          <w:b/>
          <w:bCs/>
          <w:lang w:eastAsia="lt-LT"/>
        </w:rPr>
      </w:pPr>
    </w:p>
    <w:p w:rsidR="004F5986" w:rsidRPr="004C6A85" w:rsidRDefault="004F5986" w:rsidP="004F5986">
      <w:pPr>
        <w:ind w:firstLine="709"/>
        <w:jc w:val="both"/>
        <w:rPr>
          <w:lang w:eastAsia="lt-LT"/>
        </w:rPr>
      </w:pPr>
    </w:p>
    <w:p w:rsidR="004F5986" w:rsidRPr="004C6A85" w:rsidRDefault="004F5986" w:rsidP="004F5986">
      <w:pPr>
        <w:pStyle w:val="xl127"/>
        <w:spacing w:before="0" w:beforeAutospacing="0" w:after="0" w:afterAutospacing="0"/>
        <w:rPr>
          <w:rFonts w:ascii="Times New Roman" w:hAnsi="Times New Roman" w:cs="Times New Roman"/>
        </w:rPr>
      </w:pPr>
      <w:r w:rsidRPr="004C6A85">
        <w:rPr>
          <w:rFonts w:ascii="Times New Roman" w:hAnsi="Times New Roman" w:cs="Times New Roman"/>
        </w:rPr>
        <w:t>Veiklos plano priedai</w:t>
      </w:r>
    </w:p>
    <w:p w:rsidR="004F5986" w:rsidRPr="004C6A85" w:rsidRDefault="004F5986" w:rsidP="004F5986">
      <w:pPr>
        <w:jc w:val="both"/>
        <w:rPr>
          <w:b/>
          <w:bCs/>
          <w:caps/>
        </w:rPr>
      </w:pPr>
    </w:p>
    <w:p w:rsidR="004F5986" w:rsidRPr="004C6A85" w:rsidRDefault="004F5986" w:rsidP="004F5986">
      <w:pPr>
        <w:numPr>
          <w:ilvl w:val="0"/>
          <w:numId w:val="1"/>
        </w:numPr>
        <w:tabs>
          <w:tab w:val="left" w:pos="1134"/>
        </w:tabs>
        <w:ind w:left="0" w:firstLine="709"/>
        <w:jc w:val="both"/>
      </w:pPr>
      <w:r w:rsidRPr="004C6A85">
        <w:t>Bendras lėšų poreikis ir numatomi finansavimo šaltiniai.</w:t>
      </w:r>
    </w:p>
    <w:p w:rsidR="004F5986" w:rsidRPr="004C6A85" w:rsidRDefault="004F5986" w:rsidP="004F5986">
      <w:pPr>
        <w:numPr>
          <w:ilvl w:val="0"/>
          <w:numId w:val="1"/>
        </w:numPr>
        <w:tabs>
          <w:tab w:val="left" w:pos="1134"/>
        </w:tabs>
        <w:ind w:left="0" w:firstLine="709"/>
        <w:jc w:val="both"/>
      </w:pPr>
      <w:r>
        <w:rPr>
          <w:bCs/>
        </w:rPr>
        <w:t>2013-2015</w:t>
      </w:r>
      <w:r w:rsidRPr="004C6A85">
        <w:rPr>
          <w:bCs/>
        </w:rPr>
        <w:t>-ųjų metų veiklos plano tikslų, uždavinių, priemonių, priemonių išlaidų ir produkto kriterijų suvestinė.</w:t>
      </w:r>
    </w:p>
    <w:p w:rsidR="004F5986" w:rsidRPr="004C6A85" w:rsidRDefault="004F5986" w:rsidP="004F5986">
      <w:pPr>
        <w:ind w:firstLine="851"/>
        <w:jc w:val="both"/>
        <w:rPr>
          <w:b/>
        </w:rPr>
      </w:pPr>
    </w:p>
    <w:p w:rsidR="004F5986" w:rsidRPr="004C6A85" w:rsidRDefault="004F5986" w:rsidP="004F5986">
      <w:pPr>
        <w:pStyle w:val="Title"/>
        <w:ind w:left="4860"/>
        <w:jc w:val="right"/>
      </w:pPr>
    </w:p>
    <w:p w:rsidR="004F5986" w:rsidRPr="004C6A85" w:rsidRDefault="004F5986" w:rsidP="004F5986">
      <w:pPr>
        <w:pStyle w:val="Title"/>
        <w:rPr>
          <w:b w:val="0"/>
          <w:bCs w:val="0"/>
        </w:rPr>
      </w:pPr>
    </w:p>
    <w:p w:rsidR="004F5986" w:rsidRPr="004C6A85" w:rsidRDefault="004F5986" w:rsidP="004F5986">
      <w:pPr>
        <w:pStyle w:val="xl127"/>
        <w:spacing w:before="0" w:beforeAutospacing="0" w:after="0" w:afterAutospacing="0"/>
        <w:rPr>
          <w:rFonts w:ascii="Times New Roman" w:hAnsi="Times New Roman" w:cs="Times New Roman"/>
        </w:rPr>
      </w:pPr>
    </w:p>
    <w:p w:rsidR="004F5986" w:rsidRPr="004C6A85" w:rsidRDefault="004F5986" w:rsidP="004F5986">
      <w:pPr>
        <w:pStyle w:val="xl127"/>
        <w:spacing w:before="0" w:beforeAutospacing="0" w:after="0" w:afterAutospacing="0"/>
        <w:rPr>
          <w:rFonts w:ascii="Times New Roman" w:hAnsi="Times New Roman" w:cs="Times New Roman"/>
        </w:rPr>
      </w:pPr>
    </w:p>
    <w:p w:rsidR="004F5986" w:rsidRPr="004C6A85" w:rsidRDefault="004F5986" w:rsidP="004F5986">
      <w:r w:rsidRPr="004C6A85">
        <w:rPr>
          <w:b/>
          <w:bCs/>
        </w:rPr>
        <w:t xml:space="preserve"> </w:t>
      </w:r>
      <w:r w:rsidRPr="004C6A85">
        <w:t>Direktorius</w:t>
      </w:r>
      <w:r>
        <w:t xml:space="preserve"> </w:t>
      </w:r>
      <w:r>
        <w:tab/>
      </w:r>
      <w:r>
        <w:tab/>
      </w:r>
      <w:r>
        <w:tab/>
      </w:r>
      <w:r>
        <w:tab/>
      </w:r>
      <w:r>
        <w:tab/>
      </w:r>
      <w:r>
        <w:t>Valentinas Vytautas Šeputis</w:t>
      </w:r>
    </w:p>
    <w:p w:rsidR="004F5986" w:rsidRPr="004C6A85" w:rsidRDefault="004F5986" w:rsidP="004F5986"/>
    <w:p w:rsidR="004F5986" w:rsidRDefault="004F5986" w:rsidP="004F5986"/>
    <w:p w:rsidR="004F5986" w:rsidRPr="004C6A85" w:rsidRDefault="004F5986" w:rsidP="004F5986"/>
    <w:p w:rsidR="004F5986" w:rsidRPr="004C6A85" w:rsidRDefault="004F5986" w:rsidP="004F5986">
      <w:r w:rsidRPr="004C6A85">
        <w:t>Direktoriaus pavaduotoja ugdymui</w:t>
      </w:r>
      <w:r w:rsidRPr="004C6A85">
        <w:tab/>
      </w:r>
      <w:bookmarkStart w:id="0" w:name="_GoBack"/>
      <w:bookmarkEnd w:id="0"/>
      <w:r w:rsidRPr="004C6A85">
        <w:tab/>
      </w:r>
      <w:r w:rsidRPr="004C6A85">
        <w:tab/>
        <w:t>Violeta Paulauskienė</w:t>
      </w:r>
    </w:p>
    <w:p w:rsidR="004F5986" w:rsidRPr="004C6A85" w:rsidRDefault="004F5986" w:rsidP="004F5986">
      <w:pPr>
        <w:rPr>
          <w:sz w:val="20"/>
          <w:szCs w:val="20"/>
        </w:rPr>
      </w:pPr>
      <w:r w:rsidRPr="004C6A85">
        <w:rPr>
          <w:sz w:val="20"/>
          <w:szCs w:val="20"/>
        </w:rPr>
        <w:t xml:space="preserve">atsakinga už veiklos plano parengimą                   </w:t>
      </w:r>
      <w:r w:rsidRPr="004C6A85">
        <w:rPr>
          <w:sz w:val="20"/>
          <w:szCs w:val="20"/>
        </w:rPr>
        <w:tab/>
      </w:r>
      <w:r w:rsidRPr="004C6A85">
        <w:rPr>
          <w:sz w:val="20"/>
          <w:szCs w:val="20"/>
        </w:rPr>
        <w:tab/>
      </w:r>
      <w:r w:rsidRPr="004C6A85">
        <w:rPr>
          <w:sz w:val="20"/>
          <w:szCs w:val="20"/>
        </w:rPr>
        <w:tab/>
      </w:r>
      <w:r w:rsidRPr="004C6A85">
        <w:rPr>
          <w:sz w:val="20"/>
          <w:szCs w:val="20"/>
        </w:rPr>
        <w:tab/>
      </w:r>
      <w:r w:rsidRPr="004C6A85">
        <w:rPr>
          <w:sz w:val="20"/>
          <w:szCs w:val="20"/>
        </w:rPr>
        <w:tab/>
      </w:r>
    </w:p>
    <w:p w:rsidR="004F5986" w:rsidRPr="004C6A85" w:rsidRDefault="004F5986" w:rsidP="004F5986"/>
    <w:p w:rsidR="004F5986" w:rsidRPr="004C6A85" w:rsidRDefault="004F5986" w:rsidP="004F5986"/>
    <w:p w:rsidR="004F5986" w:rsidRPr="004C6A85" w:rsidRDefault="004F5986" w:rsidP="004F5986"/>
    <w:p w:rsidR="004F5986" w:rsidRPr="004C6A85" w:rsidRDefault="004F5986" w:rsidP="004F5986">
      <w:r>
        <w:t>SUDERINTA</w:t>
      </w:r>
    </w:p>
    <w:p w:rsidR="004F5986" w:rsidRPr="004C6A85" w:rsidRDefault="004F5986" w:rsidP="004F5986"/>
    <w:p w:rsidR="004F5986" w:rsidRPr="004C6A85" w:rsidRDefault="004F5986" w:rsidP="004F5986">
      <w:pPr>
        <w:rPr>
          <w:sz w:val="20"/>
          <w:szCs w:val="20"/>
        </w:rPr>
      </w:pPr>
      <w:r w:rsidRPr="004C6A85">
        <w:rPr>
          <w:sz w:val="20"/>
          <w:szCs w:val="20"/>
        </w:rPr>
        <w:t xml:space="preserve">Asignavimų valdytojas                                                                Parašas                          </w:t>
      </w:r>
      <w:r w:rsidRPr="004C6A85">
        <w:rPr>
          <w:sz w:val="20"/>
          <w:szCs w:val="20"/>
        </w:rPr>
        <w:tab/>
        <w:t xml:space="preserve"> Vardas, pavardė</w:t>
      </w:r>
    </w:p>
    <w:p w:rsidR="004F5986" w:rsidRPr="004C6A85" w:rsidRDefault="004F5986" w:rsidP="004F5986"/>
    <w:p w:rsidR="004F5986" w:rsidRPr="004C6A85" w:rsidRDefault="004F5986" w:rsidP="004F5986">
      <w:pPr>
        <w:rPr>
          <w:b/>
        </w:rPr>
      </w:pPr>
    </w:p>
    <w:p w:rsidR="004F5986" w:rsidRPr="004C6A85" w:rsidRDefault="004F5986" w:rsidP="004F5986"/>
    <w:p w:rsidR="004F5986" w:rsidRPr="004C6A85" w:rsidRDefault="004F5986" w:rsidP="004F5986">
      <w:pPr>
        <w:jc w:val="center"/>
        <w:rPr>
          <w:b/>
          <w:bCs/>
        </w:rPr>
      </w:pPr>
    </w:p>
    <w:p w:rsidR="0096399D" w:rsidRPr="004F5986" w:rsidRDefault="004F5986" w:rsidP="004F5986">
      <w:pPr>
        <w:jc w:val="center"/>
        <w:rPr>
          <w:b/>
          <w:bCs/>
        </w:rPr>
      </w:pPr>
      <w:r w:rsidRPr="004C6A85">
        <w:rPr>
          <w:b/>
          <w:bCs/>
        </w:rPr>
        <w:t>____</w:t>
      </w:r>
      <w:r>
        <w:rPr>
          <w:b/>
          <w:bCs/>
        </w:rPr>
        <w:t>_____________________________</w:t>
      </w:r>
    </w:p>
    <w:sectPr w:rsidR="0096399D" w:rsidRPr="004F5986" w:rsidSect="00650F99">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6E53"/>
    <w:multiLevelType w:val="hybridMultilevel"/>
    <w:tmpl w:val="244CE74C"/>
    <w:lvl w:ilvl="0" w:tplc="A926893C">
      <w:start w:val="1"/>
      <w:numFmt w:val="decimalZero"/>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B0842F2"/>
    <w:multiLevelType w:val="hybridMultilevel"/>
    <w:tmpl w:val="ABF421B0"/>
    <w:lvl w:ilvl="0" w:tplc="7F4ADB40">
      <w:start w:val="2"/>
      <w:numFmt w:val="decimal"/>
      <w:lvlText w:val="%1."/>
      <w:lvlJc w:val="left"/>
      <w:pPr>
        <w:tabs>
          <w:tab w:val="num" w:pos="1740"/>
        </w:tabs>
        <w:ind w:left="17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4552F84"/>
    <w:multiLevelType w:val="hybridMultilevel"/>
    <w:tmpl w:val="783CF1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86"/>
    <w:rsid w:val="004F5986"/>
    <w:rsid w:val="009639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5986"/>
    <w:pPr>
      <w:jc w:val="center"/>
    </w:pPr>
    <w:rPr>
      <w:b/>
      <w:bCs/>
    </w:rPr>
  </w:style>
  <w:style w:type="character" w:customStyle="1" w:styleId="TitleChar">
    <w:name w:val="Title Char"/>
    <w:basedOn w:val="DefaultParagraphFont"/>
    <w:link w:val="Title"/>
    <w:rsid w:val="004F5986"/>
    <w:rPr>
      <w:rFonts w:ascii="Times New Roman" w:eastAsia="Times New Roman" w:hAnsi="Times New Roman" w:cs="Times New Roman"/>
      <w:b/>
      <w:bCs/>
      <w:sz w:val="24"/>
      <w:szCs w:val="24"/>
    </w:rPr>
  </w:style>
  <w:style w:type="paragraph" w:customStyle="1" w:styleId="xl127">
    <w:name w:val="xl127"/>
    <w:basedOn w:val="Normal"/>
    <w:rsid w:val="004F5986"/>
    <w:pPr>
      <w:spacing w:before="100" w:beforeAutospacing="1" w:after="100" w:afterAutospacing="1"/>
      <w:jc w:val="center"/>
    </w:pPr>
    <w:rPr>
      <w:rFonts w:ascii="Arial" w:hAnsi="Arial" w:cs="Arial"/>
      <w:b/>
      <w:bCs/>
    </w:rPr>
  </w:style>
  <w:style w:type="paragraph" w:styleId="Header">
    <w:name w:val="header"/>
    <w:basedOn w:val="Normal"/>
    <w:link w:val="HeaderChar"/>
    <w:rsid w:val="004F5986"/>
    <w:pPr>
      <w:spacing w:before="100" w:beforeAutospacing="1" w:after="100" w:afterAutospacing="1"/>
    </w:pPr>
  </w:style>
  <w:style w:type="character" w:customStyle="1" w:styleId="HeaderChar">
    <w:name w:val="Header Char"/>
    <w:basedOn w:val="DefaultParagraphFont"/>
    <w:link w:val="Header"/>
    <w:rsid w:val="004F5986"/>
    <w:rPr>
      <w:rFonts w:ascii="Times New Roman" w:eastAsia="Times New Roman" w:hAnsi="Times New Roman" w:cs="Times New Roman"/>
      <w:sz w:val="24"/>
      <w:szCs w:val="24"/>
    </w:rPr>
  </w:style>
  <w:style w:type="paragraph" w:styleId="BodyText">
    <w:name w:val="Body Text"/>
    <w:aliases w:val="Body Text1,Standard paragraph"/>
    <w:basedOn w:val="Normal"/>
    <w:link w:val="BodyTextChar"/>
    <w:rsid w:val="004F5986"/>
    <w:pPr>
      <w:jc w:val="both"/>
    </w:pPr>
    <w:rPr>
      <w:szCs w:val="20"/>
      <w:lang w:val="en-US"/>
    </w:rPr>
  </w:style>
  <w:style w:type="character" w:customStyle="1" w:styleId="BodyTextChar">
    <w:name w:val="Body Text Char"/>
    <w:aliases w:val="Body Text1 Char,Standard paragraph Char"/>
    <w:basedOn w:val="DefaultParagraphFont"/>
    <w:link w:val="BodyText"/>
    <w:rsid w:val="004F5986"/>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5986"/>
    <w:pPr>
      <w:jc w:val="center"/>
    </w:pPr>
    <w:rPr>
      <w:b/>
      <w:bCs/>
    </w:rPr>
  </w:style>
  <w:style w:type="character" w:customStyle="1" w:styleId="TitleChar">
    <w:name w:val="Title Char"/>
    <w:basedOn w:val="DefaultParagraphFont"/>
    <w:link w:val="Title"/>
    <w:rsid w:val="004F5986"/>
    <w:rPr>
      <w:rFonts w:ascii="Times New Roman" w:eastAsia="Times New Roman" w:hAnsi="Times New Roman" w:cs="Times New Roman"/>
      <w:b/>
      <w:bCs/>
      <w:sz w:val="24"/>
      <w:szCs w:val="24"/>
    </w:rPr>
  </w:style>
  <w:style w:type="paragraph" w:customStyle="1" w:styleId="xl127">
    <w:name w:val="xl127"/>
    <w:basedOn w:val="Normal"/>
    <w:rsid w:val="004F5986"/>
    <w:pPr>
      <w:spacing w:before="100" w:beforeAutospacing="1" w:after="100" w:afterAutospacing="1"/>
      <w:jc w:val="center"/>
    </w:pPr>
    <w:rPr>
      <w:rFonts w:ascii="Arial" w:hAnsi="Arial" w:cs="Arial"/>
      <w:b/>
      <w:bCs/>
    </w:rPr>
  </w:style>
  <w:style w:type="paragraph" w:styleId="Header">
    <w:name w:val="header"/>
    <w:basedOn w:val="Normal"/>
    <w:link w:val="HeaderChar"/>
    <w:rsid w:val="004F5986"/>
    <w:pPr>
      <w:spacing w:before="100" w:beforeAutospacing="1" w:after="100" w:afterAutospacing="1"/>
    </w:pPr>
  </w:style>
  <w:style w:type="character" w:customStyle="1" w:styleId="HeaderChar">
    <w:name w:val="Header Char"/>
    <w:basedOn w:val="DefaultParagraphFont"/>
    <w:link w:val="Header"/>
    <w:rsid w:val="004F5986"/>
    <w:rPr>
      <w:rFonts w:ascii="Times New Roman" w:eastAsia="Times New Roman" w:hAnsi="Times New Roman" w:cs="Times New Roman"/>
      <w:sz w:val="24"/>
      <w:szCs w:val="24"/>
    </w:rPr>
  </w:style>
  <w:style w:type="paragraph" w:styleId="BodyText">
    <w:name w:val="Body Text"/>
    <w:aliases w:val="Body Text1,Standard paragraph"/>
    <w:basedOn w:val="Normal"/>
    <w:link w:val="BodyTextChar"/>
    <w:rsid w:val="004F5986"/>
    <w:pPr>
      <w:jc w:val="both"/>
    </w:pPr>
    <w:rPr>
      <w:szCs w:val="20"/>
      <w:lang w:val="en-US"/>
    </w:rPr>
  </w:style>
  <w:style w:type="character" w:customStyle="1" w:styleId="BodyTextChar">
    <w:name w:val="Body Text Char"/>
    <w:aliases w:val="Body Text1 Char,Standard paragraph Char"/>
    <w:basedOn w:val="DefaultParagraphFont"/>
    <w:link w:val="BodyText"/>
    <w:rsid w:val="004F5986"/>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4690</Words>
  <Characters>2674</Characters>
  <Application>Microsoft Office Word</Application>
  <DocSecurity>0</DocSecurity>
  <Lines>22</Lines>
  <Paragraphs>14</Paragraphs>
  <ScaleCrop>false</ScaleCrop>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dc:creator>
  <cp:lastModifiedBy>Aldona</cp:lastModifiedBy>
  <cp:revision>1</cp:revision>
  <dcterms:created xsi:type="dcterms:W3CDTF">2013-03-25T12:14:00Z</dcterms:created>
  <dcterms:modified xsi:type="dcterms:W3CDTF">2013-03-25T12:16:00Z</dcterms:modified>
</cp:coreProperties>
</file>